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Literatur und Medien</w:t>
      </w:r>
    </w:p>
    <w:p>
      <w:pPr>
        <w:spacing w:after="373"/>
      </w:pPr>
      <w:r>
        <w:rPr>
          <w:rFonts w:ascii="Arial" w:hAnsi="Arial" w:cs="Arial"/>
          <w:sz w:val="29"/>
          <w:sz-cs w:val="29"/>
          <w:b/>
          <w:spacing w:val="0"/>
          <w:color w:val="262626"/>
        </w:rPr>
        <w:t xml:space="preserve">Prof. Dr. Kim, Sung-hwa (Chungbuk National University, Republic of Korea)</w:t>
      </w:r>
    </w:p>
    <w:p>
      <w:pPr>
        <w:spacing w:after="213"/>
      </w:pPr>
      <w:r>
        <w:rPr>
          <w:rFonts w:ascii="Arial" w:hAnsi="Arial" w:cs="Arial"/>
          <w:sz w:val="29"/>
          <w:sz-cs w:val="29"/>
          <w:spacing w:val="0"/>
          <w:color w:val="0E0E0E"/>
        </w:rPr>
        <w:t xml:space="preserve">Die Diagnose einer »Krise der Germanistik« steht in engem Zusammenhang mit den neueren Medienbedingungen, die durch ihre Bilderfluten sowie durch digitale und KI-geprägte Technologien gekennzeichnet sind. Die Rede von einer »Generation, die keine Bücher mehr liest«, geht häufig mit der These vom »Ende der Literatur« einher und wirft grundlegende Fragen nach der Orientierung und Legitimation literaturwissenschaftlicher Forschung auf; doch bedeutet das keineswegs »das Ende der Literatur« selbst.</w:t>
      </w:r>
    </w:p>
    <w:p>
      <w:pPr>
        <w:spacing w:after="213"/>
      </w:pPr>
      <w:r>
        <w:rPr>
          <w:rFonts w:ascii="Arial" w:hAnsi="Arial" w:cs="Arial"/>
          <w:sz w:val="29"/>
          <w:sz-cs w:val="29"/>
          <w:spacing w:val="0"/>
          <w:color w:val="0E0E0E"/>
        </w:rPr>
        <w:t xml:space="preserve">Narrative sind in der Kulturgeschichte stets über unterschiedliche Medien hervorgebracht und tradiert worden. Veränderungen der Medienbedingungen beeinflussen dabei nicht nur die ästhetischen Ausdrucksformen von Narrativen, sondern auch Formen der Weltwahrnehmung und des Denkens sowie die Produktions-, Distributions- und Rezeptionsprozesse von Erzählungen und damit die gesamte soziale Kommunikationsstruktur. Vor diesem Hintergrund erweitert sich die Literaturwissenschaft zu einer interdisziplinären Medien- und Kulturforschung, die die Materialität, Medialität, Sensorik und technischen Bedingungen von Medien in ihrer Bedeutung für die kulturelle Sinnkonstitution durch Narrationen untersucht. Narrative, die in Text, Bild, Klang oder deren Kombination entstehen, generieren Bedeutung auf der Grundlage jeweils medienspezifischer Erzählweisen und Ästhetiken. Medien sind dabei nicht als bloße Übertragungsinstrumente zu verstehen, sondern als epistemische Apparate, die – auf der Basis ihrer je eigenen Materialität und Medialität – unterschiedliche Rezeptionsweisen, Wahrnehmungsformen und Bedingungen sozialer Zirkulation von Narrationen hervorbringen.</w:t>
      </w:r>
    </w:p>
    <w:p>
      <w:pPr>
        <w:spacing w:after="213"/>
      </w:pPr>
      <w:r>
        <w:rPr>
          <w:rFonts w:ascii="Arial" w:hAnsi="Arial" w:cs="Arial"/>
          <w:sz w:val="29"/>
          <w:sz-cs w:val="29"/>
          <w:spacing w:val="0"/>
          <w:color w:val="0E0E0E"/>
        </w:rPr>
        <w:t xml:space="preserve">Die Sektion zielt darauf ab, auf der Grundlage einer Erweiterung des Literaturbegriffs und literaturwissenschaftlicher Methodologien einen Beitrag zu einem neuen Paradigma gegenwärtiger Literaturforschung zu leisten und zugleich den interdisziplinären Austausch zwischen unterschiedlichen Forschungsfeldern wie Literaturwissenschaft, Kulturwissenschaft, Medienwissenschaft, Buchwissenschaft und Textkritik zu fördern. Im Fokus stehen medienspezifische Erzählweisen und Ästhetiken sowie Fragen der Materialität und Medialität in deutschsprachigen Druckmedien ebenso wie in audiovisuellen und digitalen Medien. Ziel ist es, vor diesem Hintergrund die Transformationen der Literatur im Kontext sich wandelnder Medienbedingungen zu diskutieren.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